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2A" w:rsidRDefault="00F06C2A" w:rsidP="00F06C2A">
      <w:pPr>
        <w:adjustRightInd w:val="0"/>
        <w:snapToGrid w:val="0"/>
        <w:rPr>
          <w:rFonts w:ascii="黑体" w:eastAsia="黑体" w:hAnsi="微软雅黑"/>
          <w:color w:val="000000"/>
          <w:kern w:val="0"/>
          <w:sz w:val="32"/>
          <w:szCs w:val="32"/>
        </w:rPr>
      </w:pPr>
      <w:r>
        <w:rPr>
          <w:rFonts w:ascii="黑体" w:eastAsia="黑体" w:hAnsi="微软雅黑" w:hint="eastAsia"/>
          <w:color w:val="000000"/>
          <w:kern w:val="0"/>
          <w:sz w:val="32"/>
          <w:szCs w:val="32"/>
        </w:rPr>
        <w:t>附件:</w:t>
      </w:r>
    </w:p>
    <w:p w:rsidR="00F06C2A" w:rsidRDefault="00F06C2A" w:rsidP="00F06C2A">
      <w:pPr>
        <w:adjustRightInd w:val="0"/>
        <w:snapToGrid w:val="0"/>
        <w:rPr>
          <w:rFonts w:ascii="黑体" w:eastAsia="黑体" w:hAnsi="微软雅黑" w:hint="eastAsia"/>
          <w:color w:val="000000"/>
          <w:kern w:val="0"/>
          <w:sz w:val="32"/>
          <w:szCs w:val="32"/>
        </w:rPr>
      </w:pPr>
    </w:p>
    <w:p w:rsidR="00F06C2A" w:rsidRDefault="00F06C2A" w:rsidP="00F06C2A">
      <w:pPr>
        <w:adjustRightInd w:val="0"/>
        <w:snapToGrid w:val="0"/>
        <w:jc w:val="center"/>
        <w:rPr>
          <w:rFonts w:ascii="方正小标宋简体" w:eastAsia="方正小标宋简体" w:hAnsi="微软雅黑" w:hint="eastAsia"/>
          <w:b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微软雅黑" w:hint="eastAsia"/>
          <w:b/>
          <w:color w:val="000000"/>
          <w:kern w:val="0"/>
          <w:sz w:val="28"/>
          <w:szCs w:val="28"/>
        </w:rPr>
        <w:t>参会回执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028"/>
        <w:gridCol w:w="396"/>
        <w:gridCol w:w="587"/>
        <w:gridCol w:w="2102"/>
        <w:gridCol w:w="40"/>
        <w:gridCol w:w="1131"/>
        <w:gridCol w:w="1095"/>
        <w:gridCol w:w="535"/>
        <w:gridCol w:w="459"/>
        <w:gridCol w:w="887"/>
        <w:gridCol w:w="780"/>
        <w:gridCol w:w="759"/>
      </w:tblGrid>
      <w:tr w:rsidR="00F06C2A" w:rsidTr="00F06C2A">
        <w:trPr>
          <w:trHeight w:val="567"/>
          <w:jc w:val="center"/>
        </w:trPr>
        <w:tc>
          <w:tcPr>
            <w:tcW w:w="1424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0"/>
                <w:szCs w:val="20"/>
              </w:rPr>
              <w:t>单位名称</w:t>
            </w:r>
          </w:p>
        </w:tc>
        <w:tc>
          <w:tcPr>
            <w:tcW w:w="8375" w:type="dxa"/>
            <w:gridSpan w:val="10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ind w:leftChars="2672" w:left="5611" w:firstLineChars="450" w:firstLine="9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F06C2A" w:rsidTr="00F06C2A">
        <w:trPr>
          <w:trHeight w:val="567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通信地址</w:t>
            </w:r>
          </w:p>
        </w:tc>
        <w:tc>
          <w:tcPr>
            <w:tcW w:w="837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ind w:firstLine="504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邮编：</w:t>
            </w:r>
          </w:p>
        </w:tc>
      </w:tr>
      <w:tr w:rsidR="00F06C2A" w:rsidTr="00F06C2A">
        <w:trPr>
          <w:trHeight w:val="567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发票抬头</w:t>
            </w:r>
          </w:p>
        </w:tc>
        <w:tc>
          <w:tcPr>
            <w:tcW w:w="3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开费项目</w:t>
            </w:r>
            <w:proofErr w:type="gramEnd"/>
          </w:p>
        </w:tc>
        <w:tc>
          <w:tcPr>
            <w:tcW w:w="3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培训费</w:t>
            </w:r>
          </w:p>
        </w:tc>
      </w:tr>
      <w:tr w:rsidR="00F06C2A" w:rsidTr="00F06C2A">
        <w:trPr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代表姓名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部门及职务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手机号码（必填）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电子邮箱</w:t>
            </w: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预订房间数</w:t>
            </w:r>
            <w:r>
              <w:rPr>
                <w:rFonts w:ascii="微软雅黑" w:eastAsia="微软雅黑" w:hAnsi="微软雅黑" w:hint="eastAsia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16"/>
                <w:szCs w:val="16"/>
              </w:rPr>
              <w:t>拼房请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16"/>
                <w:szCs w:val="16"/>
              </w:rPr>
              <w:t>写0.5间)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入住</w:t>
            </w:r>
          </w:p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时间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退房</w:t>
            </w:r>
          </w:p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时间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1：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2：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3：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4：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5：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6：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7：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8：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9799" w:type="dxa"/>
            <w:gridSpan w:val="1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ind w:firstLineChars="50" w:firstLine="1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备注：如果住宿有特殊要求请在此填写，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拼房请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写0.5间。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0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回程票</w:t>
            </w:r>
          </w:p>
        </w:tc>
        <w:tc>
          <w:tcPr>
            <w:tcW w:w="87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特别提示：请会议代表自行提前预定回程飞机票与火车票。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0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会议费用</w:t>
            </w:r>
          </w:p>
        </w:tc>
        <w:tc>
          <w:tcPr>
            <w:tcW w:w="87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ind w:firstLineChars="250" w:firstLine="5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Style w:val="HTML"/>
                <w:rFonts w:ascii="微软雅黑" w:eastAsia="微软雅黑" w:hAnsi="微软雅黑" w:cs="Courier New" w:hint="default"/>
                <w:color w:val="000000"/>
                <w:sz w:val="20"/>
                <w:szCs w:val="20"/>
              </w:rPr>
              <w:t>1480元人民币/人（含参会费、资料费）；</w:t>
            </w: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9799" w:type="dxa"/>
            <w:gridSpan w:val="1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汇款方式（请于会议前一周完成银行电汇或银行转账）</w:t>
            </w:r>
          </w:p>
        </w:tc>
      </w:tr>
      <w:tr w:rsidR="00F06C2A" w:rsidTr="00F06C2A">
        <w:trPr>
          <w:trHeight w:val="482"/>
          <w:jc w:val="center"/>
        </w:trPr>
        <w:tc>
          <w:tcPr>
            <w:tcW w:w="102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银行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帐户</w:t>
            </w:r>
            <w:proofErr w:type="gramEnd"/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ind w:left="1058" w:hangingChars="529" w:hanging="1058"/>
              <w:jc w:val="left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帐户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名称：</w:t>
            </w:r>
          </w:p>
          <w:p w:rsidR="00F06C2A" w:rsidRDefault="00F06C2A">
            <w:pPr>
              <w:spacing w:line="0" w:lineRule="atLeast"/>
              <w:rPr>
                <w:rFonts w:ascii="仿宋_GB2312" w:eastAsia="仿宋_GB2312" w:hAnsi="华文仿宋"/>
                <w:color w:val="000000"/>
                <w:szCs w:val="21"/>
              </w:rPr>
            </w:pPr>
            <w:r>
              <w:rPr>
                <w:rFonts w:ascii="仿宋_GB2312" w:eastAsia="仿宋_GB2312" w:hAnsi="华文仿宋" w:hint="eastAsia"/>
                <w:color w:val="000000"/>
                <w:szCs w:val="21"/>
              </w:rPr>
              <w:t>青岛</w:t>
            </w:r>
            <w:proofErr w:type="gramStart"/>
            <w:r>
              <w:rPr>
                <w:rFonts w:ascii="仿宋_GB2312" w:eastAsia="仿宋_GB2312" w:hAnsi="华文仿宋" w:hint="eastAsia"/>
                <w:color w:val="000000"/>
                <w:szCs w:val="21"/>
              </w:rPr>
              <w:t>四维动漫专修</w:t>
            </w:r>
            <w:proofErr w:type="gramEnd"/>
            <w:r>
              <w:rPr>
                <w:rFonts w:ascii="仿宋_GB2312" w:eastAsia="仿宋_GB2312" w:hAnsi="华文仿宋" w:hint="eastAsia"/>
                <w:color w:val="000000"/>
                <w:szCs w:val="21"/>
              </w:rPr>
              <w:t>学校</w:t>
            </w:r>
          </w:p>
        </w:tc>
        <w:tc>
          <w:tcPr>
            <w:tcW w:w="3260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ind w:left="798" w:hangingChars="380" w:hanging="798"/>
              <w:jc w:val="left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开户行：</w:t>
            </w:r>
          </w:p>
          <w:p w:rsidR="00F06C2A" w:rsidRDefault="00F06C2A">
            <w:pPr>
              <w:adjustRightInd w:val="0"/>
              <w:snapToGrid w:val="0"/>
              <w:spacing w:line="0" w:lineRule="atLeast"/>
              <w:ind w:left="798" w:hangingChars="380" w:hanging="798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仿宋_GB2312" w:eastAsia="仿宋_GB2312" w:hAnsi="华文仿宋" w:hint="eastAsia"/>
                <w:color w:val="000000"/>
                <w:szCs w:val="21"/>
              </w:rPr>
              <w:t>建设银行青岛分行市南三支行</w:t>
            </w:r>
          </w:p>
        </w:tc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jc w:val="left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银行帐号：</w:t>
            </w:r>
          </w:p>
          <w:p w:rsidR="00F06C2A" w:rsidRDefault="00F06C2A">
            <w:pPr>
              <w:spacing w:line="0" w:lineRule="atLeast"/>
              <w:rPr>
                <w:rFonts w:ascii="仿宋_GB2312" w:eastAsia="仿宋_GB2312" w:hAnsi="华文仿宋"/>
                <w:color w:val="000000"/>
                <w:szCs w:val="21"/>
              </w:rPr>
            </w:pPr>
            <w:r>
              <w:rPr>
                <w:rFonts w:ascii="仿宋_GB2312" w:eastAsia="仿宋_GB2312" w:hAnsi="华文仿宋" w:hint="eastAsia"/>
                <w:color w:val="000000"/>
                <w:szCs w:val="21"/>
              </w:rPr>
              <w:t>371986610261660808</w:t>
            </w:r>
          </w:p>
        </w:tc>
      </w:tr>
    </w:tbl>
    <w:p w:rsidR="00F06C2A" w:rsidRDefault="00F06C2A" w:rsidP="00F06C2A">
      <w:pPr>
        <w:adjustRightInd w:val="0"/>
        <w:snapToGrid w:val="0"/>
        <w:rPr>
          <w:rFonts w:hint="eastAsia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color w:val="000000"/>
          <w:sz w:val="24"/>
        </w:rPr>
        <w:t>温馨提示：</w:t>
      </w:r>
      <w:r>
        <w:rPr>
          <w:rFonts w:ascii="微软雅黑" w:eastAsia="微软雅黑" w:hAnsi="微软雅黑" w:hint="eastAsia"/>
          <w:color w:val="000000"/>
          <w:sz w:val="24"/>
        </w:rPr>
        <w:t>请填</w:t>
      </w:r>
      <w:r>
        <w:rPr>
          <w:rFonts w:ascii="微软雅黑" w:eastAsia="微软雅黑" w:hAnsi="微软雅黑" w:hint="eastAsia"/>
          <w:bCs/>
          <w:color w:val="000000"/>
          <w:sz w:val="24"/>
        </w:rPr>
        <w:t>写完回执表后邮件会务组并于会议前一周完成银行电汇或银行转账，</w:t>
      </w:r>
      <w:r>
        <w:rPr>
          <w:rFonts w:ascii="微软雅黑" w:eastAsia="微软雅黑" w:hAnsi="微软雅黑" w:hint="eastAsia"/>
          <w:color w:val="000000"/>
          <w:sz w:val="24"/>
        </w:rPr>
        <w:t>汇款单上请务必填写</w:t>
      </w:r>
      <w:r>
        <w:rPr>
          <w:rFonts w:ascii="微软雅黑" w:eastAsia="微软雅黑" w:hAnsi="微软雅黑" w:hint="eastAsia"/>
          <w:b/>
          <w:color w:val="000000"/>
          <w:sz w:val="24"/>
        </w:rPr>
        <w:t>联系人</w:t>
      </w:r>
      <w:r>
        <w:rPr>
          <w:rFonts w:ascii="微软雅黑" w:eastAsia="微软雅黑" w:hAnsi="微软雅黑" w:hint="eastAsia"/>
          <w:color w:val="000000"/>
          <w:sz w:val="24"/>
        </w:rPr>
        <w:t>，</w:t>
      </w:r>
      <w:r>
        <w:rPr>
          <w:rFonts w:ascii="微软雅黑" w:eastAsia="微软雅黑" w:hAnsi="微软雅黑" w:hint="eastAsia"/>
          <w:bCs/>
          <w:color w:val="000000"/>
          <w:sz w:val="24"/>
        </w:rPr>
        <w:t>收到汇款后会务组和您确认并统一安排，发票事宜将在大会期间办理。</w:t>
      </w:r>
    </w:p>
    <w:p w:rsidR="00944BFF" w:rsidRPr="00F06C2A" w:rsidRDefault="00944BFF">
      <w:pPr>
        <w:rPr>
          <w:rFonts w:hint="eastAsia"/>
        </w:rPr>
      </w:pPr>
    </w:p>
    <w:sectPr w:rsidR="00944BFF" w:rsidRPr="00F06C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C2A"/>
    <w:rsid w:val="00944BFF"/>
    <w:rsid w:val="00F0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uiPriority w:val="99"/>
    <w:semiHidden/>
    <w:unhideWhenUsed/>
    <w:qFormat/>
    <w:rsid w:val="00F06C2A"/>
    <w:rPr>
      <w:rFonts w:ascii="黑体" w:eastAsia="黑体" w:hAnsi="Courier New" w:cs="Times New Roman" w:hint="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微软中国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2017-02-23T03:30:00Z</dcterms:created>
  <dcterms:modified xsi:type="dcterms:W3CDTF">2017-02-23T03:30:00Z</dcterms:modified>
</cp:coreProperties>
</file>